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F1EDF" w:rsidRPr="00BE4934" w:rsidRDefault="00700268">
      <w:pPr>
        <w:jc w:val="right"/>
        <w:rPr>
          <w:rFonts w:ascii="Cambria" w:hAnsi="Cambria"/>
          <w:sz w:val="28"/>
          <w:szCs w:val="28"/>
        </w:rPr>
      </w:pPr>
      <w:r w:rsidRPr="00BE4934">
        <w:rPr>
          <w:rFonts w:ascii="Cambria" w:hAnsi="Cambria"/>
          <w:sz w:val="28"/>
          <w:szCs w:val="28"/>
        </w:rPr>
        <w:t>ПРОЕКТ</w:t>
      </w:r>
    </w:p>
    <w:p w14:paraId="00000002" w14:textId="77777777" w:rsidR="000F1EDF" w:rsidRPr="00BE4934" w:rsidRDefault="00550C38">
      <w:pPr>
        <w:rPr>
          <w:rFonts w:ascii="Cambria" w:hAnsi="Cambria"/>
          <w:sz w:val="28"/>
          <w:szCs w:val="28"/>
        </w:rPr>
      </w:pPr>
      <w:sdt>
        <w:sdtPr>
          <w:rPr>
            <w:rFonts w:ascii="Cambria" w:hAnsi="Cambria"/>
            <w:sz w:val="28"/>
            <w:szCs w:val="28"/>
          </w:rPr>
          <w:tag w:val="goog_rdk_0"/>
          <w:id w:val="1527143941"/>
        </w:sdtPr>
        <w:sdtEndPr/>
        <w:sdtContent>
          <w:r w:rsidR="00700268" w:rsidRPr="00BE4934">
            <w:rPr>
              <w:rFonts w:ascii="Cambria" w:eastAsia="Arial" w:hAnsi="Cambria" w:cs="Arial"/>
              <w:sz w:val="28"/>
              <w:szCs w:val="28"/>
            </w:rPr>
            <w:t xml:space="preserve">Приложение № 1 </w:t>
          </w:r>
        </w:sdtContent>
      </w:sdt>
      <w:r w:rsidR="00700268" w:rsidRPr="00BE4934">
        <w:rPr>
          <w:rFonts w:ascii="Cambria" w:eastAsia="Times New Roman" w:hAnsi="Cambria" w:cs="Times New Roman"/>
          <w:b/>
          <w:sz w:val="28"/>
          <w:szCs w:val="28"/>
        </w:rPr>
        <w:t>к МЕДИАСТРАТЕГИИ</w:t>
      </w:r>
    </w:p>
    <w:p w14:paraId="00000003" w14:textId="77777777" w:rsidR="000F1EDF" w:rsidRPr="00BE4934" w:rsidRDefault="00700268">
      <w:pPr>
        <w:spacing w:before="240" w:after="240"/>
        <w:ind w:hanging="360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В ТАДЖИКИСТАНЕ</w:t>
      </w:r>
    </w:p>
    <w:p w14:paraId="00000004" w14:textId="77777777" w:rsidR="000F1EDF" w:rsidRPr="00BE4934" w:rsidRDefault="000F1EDF">
      <w:pPr>
        <w:spacing w:before="240" w:after="240"/>
        <w:ind w:hanging="360"/>
        <w:rPr>
          <w:rFonts w:ascii="Cambria" w:hAnsi="Cambria"/>
          <w:color w:val="212529"/>
          <w:sz w:val="28"/>
          <w:szCs w:val="28"/>
          <w:highlight w:val="white"/>
        </w:rPr>
      </w:pPr>
    </w:p>
    <w:p w14:paraId="00000005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Впервые в Таджикистане из центрально азиатских республик была принята Национальная Стратегия противодействия экстремизму, радикализму, терроризму на 2016-2020 годы.  В результате  мер, принятых в рамках  реализации Национальной Стратегии, в стране налажено взаимодействие и координация между различными структурами, улучшено информационн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>о-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техническая база этих структур, проведено  исследовательская и профилактическая  работа. Особое внимание уделялось образованию и досугу молодежи для противодействия их вовлеченности к экстремизму и терроризму.  В результате принятых мер Правительством страны из зон боевых действий  на территории Сирии и Ирака были возвращены более 300 граждан Таджикистана, в 2019 году 84 несовершеннолетних детей, которым помогли  адаптироваться к нормальной жизни. Граждане,   добровольно отказавшимся от участия в экстремистских и террористических организациях, решением суда освобождены от уголовной ответственности.  В рамках улучшения борьбы с экстремизмом и терроризмом принят Закон Республики Таджикистан « О противодействии экстремизму»  в январе 2020 года, в уголовное законодательство 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>внесены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ряд изменений и дополнений.  </w:t>
      </w:r>
    </w:p>
    <w:p w14:paraId="00000006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>Вместе с тем отмечается озабоченность вовлеченностью  граждан  страны в запрещенные экстремистские и террористические группировки, тем более географическая близость к странам, где продолжается вооруженный конфликт с участием радикальных религиозных группировок, дислокации на их территорий лагерей подготовки боевиков, террористических организаций стремящихся распространить свою деятельность на территорию соседних стран.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  Принятая,  уже во второй раз Национальная  Стратегии «О противодействии экстремизму, радикализму, терроризму» на 2021-2025 годы, которая   ставит  приоритетом следующие задачи: </w:t>
      </w:r>
    </w:p>
    <w:p w14:paraId="00000007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lastRenderedPageBreak/>
        <w:t>- повышение эффективности мер профилактики экстремизма и терроризма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;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</w:t>
      </w:r>
    </w:p>
    <w:p w14:paraId="00000008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 повышение роли религии и религиозных организаций в профилактической деятельности;</w:t>
      </w:r>
    </w:p>
    <w:p w14:paraId="00000009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 повышение роли системы образования и молодежной политики в профилактике экстремизма;</w:t>
      </w:r>
    </w:p>
    <w:p w14:paraId="0000000A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-повышение правового статуса личности и политической культуры населения;</w:t>
      </w:r>
    </w:p>
    <w:p w14:paraId="0000000B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-повышение эффективности мер противодействию использованию интернета в экстремистских и террористических целях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;</w:t>
      </w:r>
      <w:proofErr w:type="gramEnd"/>
    </w:p>
    <w:p w14:paraId="0000000C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-повышение гендерно-чувствительной практики противодействия экстремизму и терроризму;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br/>
        <w:t>- укрепление взаимодействия между государственными и неправительственными и международными организациями;</w:t>
      </w:r>
    </w:p>
    <w:p w14:paraId="0000000D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-совершенствования законодательства и правоохранительная деятельность; </w:t>
      </w:r>
    </w:p>
    <w:p w14:paraId="0000000E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-укрепление международного сотрудничества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.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</w:t>
      </w:r>
    </w:p>
    <w:p w14:paraId="0000000F" w14:textId="77777777" w:rsidR="000F1EDF" w:rsidRPr="00BE4934" w:rsidRDefault="000F1EDF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212529"/>
          <w:sz w:val="28"/>
          <w:szCs w:val="28"/>
          <w:highlight w:val="white"/>
        </w:rPr>
      </w:pPr>
    </w:p>
    <w:p w14:paraId="00000010" w14:textId="3402BF4F" w:rsidR="000F1EDF" w:rsidRPr="00BE4934" w:rsidRDefault="00700268" w:rsidP="00EC55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 Поставленные цели и задачи  Национальной  Стратегии отражены </w:t>
      </w:r>
      <w:proofErr w:type="gramStart"/>
      <w:r w:rsidRPr="00BE4934">
        <w:rPr>
          <w:rFonts w:ascii="Cambria" w:hAnsi="Cambria"/>
          <w:color w:val="000000"/>
          <w:sz w:val="28"/>
          <w:szCs w:val="28"/>
          <w:highlight w:val="white"/>
        </w:rPr>
        <w:t>в</w:t>
      </w:r>
      <w:proofErr w:type="gramEnd"/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 предлагаемой МЕДИАСТРАТЕГИИ. Положение </w:t>
      </w:r>
      <w:proofErr w:type="spellStart"/>
      <w:r w:rsidRPr="00BE4934">
        <w:rPr>
          <w:rFonts w:ascii="Cambria" w:hAnsi="Cambria"/>
          <w:color w:val="000000"/>
          <w:sz w:val="28"/>
          <w:szCs w:val="28"/>
          <w:highlight w:val="white"/>
        </w:rPr>
        <w:t>Медиастратегии</w:t>
      </w:r>
      <w:proofErr w:type="spellEnd"/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 полностью соответствует  приоритетным </w:t>
      </w:r>
      <w:r w:rsidRPr="00BE4934">
        <w:rPr>
          <w:rFonts w:ascii="Cambria" w:hAnsi="Cambria"/>
          <w:sz w:val="28"/>
          <w:szCs w:val="28"/>
          <w:highlight w:val="white"/>
        </w:rPr>
        <w:t>направлениям</w:t>
      </w:r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 </w:t>
      </w:r>
      <w:r w:rsidRPr="00BE4934">
        <w:rPr>
          <w:rFonts w:ascii="Cambria" w:hAnsi="Cambria"/>
          <w:sz w:val="28"/>
          <w:szCs w:val="28"/>
          <w:highlight w:val="white"/>
        </w:rPr>
        <w:t xml:space="preserve">“Национальной Стратегии “О противодействии экстремизму, радикализму, терроризму” на 2021-2025 годы. </w:t>
      </w:r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   В этом документе </w:t>
      </w:r>
      <w:r w:rsidRPr="00BE4934">
        <w:rPr>
          <w:rFonts w:ascii="Cambria" w:hAnsi="Cambria"/>
          <w:sz w:val="28"/>
          <w:szCs w:val="28"/>
          <w:highlight w:val="white"/>
        </w:rPr>
        <w:t>о</w:t>
      </w:r>
      <w:r w:rsidRPr="00BE4934">
        <w:rPr>
          <w:rFonts w:ascii="Cambria" w:hAnsi="Cambria"/>
          <w:color w:val="000000"/>
          <w:sz w:val="28"/>
          <w:szCs w:val="28"/>
          <w:highlight w:val="white"/>
        </w:rPr>
        <w:t xml:space="preserve">тмечается о 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важности проведение контр пропагандистской деятельности с использованием современных информационных технологий, так как террористические организации широко используют возможности и потенциал Интернета. </w:t>
      </w:r>
      <w:r w:rsidR="00EC5565">
        <w:rPr>
          <w:rFonts w:ascii="Cambria" w:hAnsi="Cambria"/>
          <w:color w:val="212529"/>
          <w:sz w:val="28"/>
          <w:szCs w:val="28"/>
          <w:highlight w:val="white"/>
        </w:rPr>
        <w:t xml:space="preserve"> 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На сегодня все понимают, чтобы противодействовать этому злу необходимо, повышать благосостояние и уровень культуры населения, создавать мотивацию для конструктивного, здорового образа жизни, обеспечивать возможности для адаптации и для участия в жизни общества социально уязвимых слоев населения.  А также важно обеспечить получения качественного образования, организации досуга и решения социально-экономических проблем молодежи, гендерного равенства, повышения социальной активности и роли женщин в 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lastRenderedPageBreak/>
        <w:t xml:space="preserve">жизни общества, а также обеспечения равноправия мужчин и женщин в семейных отношениях.  </w:t>
      </w:r>
    </w:p>
    <w:p w14:paraId="00000011" w14:textId="77777777" w:rsidR="000F1EDF" w:rsidRPr="00BE4934" w:rsidRDefault="000F1E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212529"/>
          <w:sz w:val="28"/>
          <w:szCs w:val="28"/>
          <w:highlight w:val="white"/>
        </w:rPr>
      </w:pPr>
    </w:p>
    <w:p w14:paraId="00000012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МЕДИАСТРАТЕГИЯ изучив многие исследования, законодательно-правовые документы, учитывая положения Национальной </w:t>
      </w:r>
      <w:proofErr w:type="gramStart"/>
      <w:r w:rsidRPr="00BE4934">
        <w:rPr>
          <w:rFonts w:ascii="Cambria" w:hAnsi="Cambria"/>
          <w:color w:val="212529"/>
          <w:sz w:val="28"/>
          <w:szCs w:val="28"/>
          <w:highlight w:val="white"/>
        </w:rPr>
        <w:t>Стратегии</w:t>
      </w:r>
      <w:proofErr w:type="gramEnd"/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 способствует выработке рекомендаций для достижения конкретных результатов в противодействия НЭРТ.    </w:t>
      </w:r>
    </w:p>
    <w:p w14:paraId="00000013" w14:textId="77777777" w:rsidR="000F1EDF" w:rsidRPr="00BE4934" w:rsidRDefault="000F1EDF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8"/>
          <w:szCs w:val="28"/>
          <w:highlight w:val="yellow"/>
        </w:rPr>
      </w:pPr>
    </w:p>
    <w:p w14:paraId="00000014" w14:textId="5FB58C5A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>МЕДИАСТРАТЕГИЯ имеет рекомендательной характер и по</w:t>
      </w:r>
      <w:r w:rsidR="00550C38">
        <w:rPr>
          <w:rFonts w:ascii="Cambria" w:hAnsi="Cambria"/>
          <w:color w:val="212529"/>
          <w:sz w:val="28"/>
          <w:szCs w:val="28"/>
          <w:highlight w:val="white"/>
        </w:rPr>
        <w:t>л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ностью </w:t>
      </w:r>
      <w:r w:rsidR="00550C38" w:rsidRPr="00BE4934">
        <w:rPr>
          <w:rFonts w:ascii="Cambria" w:hAnsi="Cambria"/>
          <w:color w:val="212529"/>
          <w:sz w:val="28"/>
          <w:szCs w:val="28"/>
          <w:highlight w:val="white"/>
        </w:rPr>
        <w:t>соответствует</w:t>
      </w: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 всем законодательным актам Республики Таджикистан, которые определяют политику государства в противодействии экстремизма, радикализма, терроризма, а также  профилактике этих преступлений:</w:t>
      </w:r>
    </w:p>
    <w:p w14:paraId="00000015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  <w:color w:val="212529"/>
          <w:sz w:val="28"/>
          <w:szCs w:val="28"/>
          <w:highlight w:val="white"/>
        </w:rPr>
      </w:pPr>
      <w:r w:rsidRPr="00BE4934">
        <w:rPr>
          <w:rFonts w:ascii="Cambria" w:hAnsi="Cambria"/>
          <w:color w:val="212529"/>
          <w:sz w:val="28"/>
          <w:szCs w:val="28"/>
          <w:highlight w:val="white"/>
        </w:rPr>
        <w:t xml:space="preserve">Закон Республики Таджикистан «О противодействия экстремизму»  </w:t>
      </w: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>2020г.</w:t>
      </w:r>
    </w:p>
    <w:p w14:paraId="00000016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 xml:space="preserve">   Закон Республике Таджикистан «О борьбе с терроризмом» 2015г. </w:t>
      </w:r>
    </w:p>
    <w:p w14:paraId="00000017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 xml:space="preserve">ЗАКОН РЕСПУБЛИКИ ТАДЖИКИСТАН «О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ПОРАЖЕНИЯ». 2011г. </w:t>
      </w:r>
    </w:p>
    <w:p w14:paraId="00000018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 xml:space="preserve">Закон Республики Таджикистан “О периодической печати и других  средствах массовой информации” 2013 г. </w:t>
      </w:r>
    </w:p>
    <w:p w14:paraId="00000019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 xml:space="preserve">Закон Республики Таджикистан “Об общественных объединений “  2007 г. </w:t>
      </w:r>
    </w:p>
    <w:p w14:paraId="0000001A" w14:textId="77777777" w:rsidR="000F1EDF" w:rsidRPr="00BE4934" w:rsidRDefault="00700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  <w:highlight w:val="white"/>
        </w:rPr>
        <w:t>Указ Президента «О Концепции государственной политики Республики Таджикистан  в сфере религии» (0т 2018 г.)</w:t>
      </w:r>
    </w:p>
    <w:p w14:paraId="0000001B" w14:textId="7B465C18" w:rsidR="000F1EDF" w:rsidRPr="00BE4934" w:rsidRDefault="00700268" w:rsidP="00EC55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</w:t>
      </w: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ab/>
        <w:t xml:space="preserve">В  Таджикистане  МЕДИАСТРАТЕГИЯ будет </w:t>
      </w:r>
      <w:proofErr w:type="gram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сфокусирована</w:t>
      </w:r>
      <w:proofErr w:type="gram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прежде всего на молодежь, мигрантов, их семей, особенно тех, кто живет в приграничных районах, являются представителями различных  слоев общества, выходцем из интернациональных семей, с учетом тех, кто не имеют постоянной работы. Исходя из этого,  реализация данной 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медиастратегии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</w:t>
      </w:r>
      <w:r w:rsidR="00EC5565">
        <w:rPr>
          <w:rFonts w:ascii="Cambria" w:eastAsia="Times New Roman" w:hAnsi="Cambria" w:cs="Times New Roman"/>
          <w:color w:val="212529"/>
          <w:sz w:val="28"/>
          <w:szCs w:val="28"/>
        </w:rPr>
        <w:t>будет учитывать их особенности, с</w:t>
      </w: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учетом их потребностей предлагать информационные компоненты для  таких слоев общества</w:t>
      </w:r>
      <w:proofErr w:type="gram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,</w:t>
      </w:r>
      <w:proofErr w:type="gram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как:</w:t>
      </w:r>
    </w:p>
    <w:p w14:paraId="0000001C" w14:textId="77777777" w:rsidR="000F1EDF" w:rsidRPr="00BE4934" w:rsidRDefault="00700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lastRenderedPageBreak/>
        <w:t>подростки  в возрасте 14-18 лет;</w:t>
      </w:r>
    </w:p>
    <w:p w14:paraId="0000001D" w14:textId="52D64F28" w:rsidR="000F1EDF" w:rsidRPr="00BE4934" w:rsidRDefault="00700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молодежь, </w:t>
      </w:r>
      <w:r w:rsidR="00550C38">
        <w:rPr>
          <w:rFonts w:ascii="Cambria" w:eastAsia="Times New Roman" w:hAnsi="Cambria" w:cs="Times New Roman"/>
          <w:color w:val="212529"/>
          <w:sz w:val="28"/>
          <w:szCs w:val="28"/>
        </w:rPr>
        <w:t xml:space="preserve">в том числе </w:t>
      </w: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учащиеся профтехучилищ;</w:t>
      </w:r>
    </w:p>
    <w:p w14:paraId="0000001E" w14:textId="77777777" w:rsidR="000F1EDF" w:rsidRPr="00BE4934" w:rsidRDefault="00700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волонтёры, активисты союза молодежи;</w:t>
      </w:r>
    </w:p>
    <w:p w14:paraId="0000001F" w14:textId="4AA1EDBC" w:rsidR="000F1EDF" w:rsidRPr="00BE4934" w:rsidRDefault="00700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потенциальные мигранты, выпускники различных це</w:t>
      </w:r>
      <w:r w:rsidR="00550C38">
        <w:rPr>
          <w:rFonts w:ascii="Cambria" w:eastAsia="Times New Roman" w:hAnsi="Cambria" w:cs="Times New Roman"/>
          <w:color w:val="212529"/>
          <w:sz w:val="28"/>
          <w:szCs w:val="28"/>
        </w:rPr>
        <w:t xml:space="preserve">нтров, </w:t>
      </w:r>
      <w:r w:rsidR="002449ED">
        <w:rPr>
          <w:rFonts w:ascii="Cambria" w:eastAsia="Times New Roman" w:hAnsi="Cambria" w:cs="Times New Roman"/>
          <w:color w:val="212529"/>
          <w:sz w:val="28"/>
          <w:szCs w:val="28"/>
        </w:rPr>
        <w:t xml:space="preserve">создатели </w:t>
      </w:r>
      <w:proofErr w:type="spellStart"/>
      <w:r w:rsidR="002449ED">
        <w:rPr>
          <w:rFonts w:ascii="Cambria" w:eastAsia="Times New Roman" w:hAnsi="Cambria" w:cs="Times New Roman"/>
          <w:color w:val="212529"/>
          <w:sz w:val="28"/>
          <w:szCs w:val="28"/>
        </w:rPr>
        <w:t>медиаконтента</w:t>
      </w:r>
      <w:proofErr w:type="spellEnd"/>
      <w:r w:rsidR="002449ED">
        <w:rPr>
          <w:rFonts w:ascii="Cambria" w:eastAsia="Times New Roman" w:hAnsi="Cambria" w:cs="Times New Roman"/>
          <w:color w:val="212529"/>
          <w:sz w:val="28"/>
          <w:szCs w:val="28"/>
        </w:rPr>
        <w:t xml:space="preserve"> (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блогеры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, журналисты, гражданские активисты),</w:t>
      </w:r>
    </w:p>
    <w:p w14:paraId="00000020" w14:textId="77777777" w:rsidR="000F1EDF" w:rsidRPr="00BE4934" w:rsidRDefault="00700268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преподаватели школ и вузов, классные руководители,</w:t>
      </w:r>
    </w:p>
    <w:p w14:paraId="00000021" w14:textId="77777777" w:rsidR="000F1EDF" w:rsidRPr="00BE4934" w:rsidRDefault="00700268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родительские комитеты</w:t>
      </w:r>
      <w:proofErr w:type="gram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,</w:t>
      </w:r>
      <w:proofErr w:type="gramEnd"/>
    </w:p>
    <w:p w14:paraId="00000023" w14:textId="77777777" w:rsidR="000F1EDF" w:rsidRPr="00BE4934" w:rsidRDefault="000F1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3"/>
        <w:rPr>
          <w:rFonts w:ascii="Cambria" w:eastAsia="Times New Roman" w:hAnsi="Cambria" w:cs="Times New Roman"/>
          <w:color w:val="212529"/>
          <w:sz w:val="28"/>
          <w:szCs w:val="28"/>
        </w:rPr>
      </w:pPr>
    </w:p>
    <w:p w14:paraId="00000024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3"/>
        <w:jc w:val="both"/>
        <w:rPr>
          <w:rFonts w:ascii="Cambria" w:eastAsia="Times New Roman" w:hAnsi="Cambria" w:cs="Times New Roman"/>
          <w:color w:val="212529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Для этой категории лиц  характерна большая  социальная активность, но с другой стороны малая вовлеченность в общественно-политическую, экономическую жизнь общества. Они по последним данным  больше сидят на социальных сетях как 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Инстаграм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, 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Фейсб</w:t>
      </w:r>
      <w:bookmarkStart w:id="0" w:name="_GoBack"/>
      <w:bookmarkEnd w:id="0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ук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, Тик-ток.  Но элементы 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медиаграмотности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, критическое мышления и анализ полученных информаций используется меньшей степени, пока еще в школьные программы эти навыки не внедрены. Исходя из  этого,  источниками знаний и информаций остается неформальное общение, общедоступные сайты, знакомые, родственники, друзья. </w:t>
      </w:r>
    </w:p>
    <w:p w14:paraId="00000025" w14:textId="77777777" w:rsidR="000F1EDF" w:rsidRPr="00BE4934" w:rsidRDefault="0070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3"/>
        <w:jc w:val="both"/>
        <w:rPr>
          <w:rFonts w:ascii="Cambria" w:eastAsia="Times New Roman" w:hAnsi="Cambria" w:cs="Times New Roman"/>
          <w:color w:val="000000"/>
          <w:sz w:val="28"/>
          <w:szCs w:val="28"/>
          <w:highlight w:val="yellow"/>
        </w:rPr>
      </w:pPr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 Формирование общественного сознания молодежи происходит в школе, под воздействием учителей, сверстников, масс-медиа, в том числе социальных сетей.  Таким образом, посредники воздействия могут быть и производителями </w:t>
      </w:r>
      <w:proofErr w:type="spellStart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>медиаконтента</w:t>
      </w:r>
      <w:proofErr w:type="spellEnd"/>
      <w:r w:rsidRPr="00BE4934">
        <w:rPr>
          <w:rFonts w:ascii="Cambria" w:eastAsia="Times New Roman" w:hAnsi="Cambria" w:cs="Times New Roman"/>
          <w:color w:val="212529"/>
          <w:sz w:val="28"/>
          <w:szCs w:val="28"/>
        </w:rPr>
        <w:t xml:space="preserve">. </w:t>
      </w:r>
    </w:p>
    <w:p w14:paraId="00000026" w14:textId="77777777" w:rsidR="000F1EDF" w:rsidRPr="00BE4934" w:rsidRDefault="000F1EDF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highlight w:val="yellow"/>
        </w:rPr>
      </w:pPr>
    </w:p>
    <w:p w14:paraId="00000027" w14:textId="77777777" w:rsidR="000F1EDF" w:rsidRPr="00BE4934" w:rsidRDefault="000F1EDF">
      <w:pPr>
        <w:spacing w:line="240" w:lineRule="auto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14:paraId="00000028" w14:textId="77777777" w:rsidR="000F1EDF" w:rsidRPr="00BE4934" w:rsidRDefault="00700268">
      <w:pPr>
        <w:spacing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BE4934">
        <w:rPr>
          <w:rFonts w:ascii="Cambria" w:eastAsia="Times New Roman" w:hAnsi="Cambria" w:cs="Times New Roman"/>
          <w:color w:val="000000"/>
          <w:sz w:val="28"/>
          <w:szCs w:val="28"/>
        </w:rPr>
        <w:t>Исполнителями МЕДИАСТРАТЕГИИ будут различные организации и представители общества: </w:t>
      </w:r>
    </w:p>
    <w:p w14:paraId="00000029" w14:textId="77777777" w:rsidR="000F1EDF" w:rsidRPr="00BE4934" w:rsidRDefault="000F1EDF">
      <w:pPr>
        <w:spacing w:after="0" w:line="240" w:lineRule="auto"/>
        <w:ind w:left="720"/>
        <w:jc w:val="both"/>
        <w:rPr>
          <w:rFonts w:ascii="Cambria" w:hAnsi="Cambria"/>
          <w:color w:val="000000"/>
          <w:sz w:val="28"/>
          <w:szCs w:val="28"/>
        </w:rPr>
      </w:pPr>
    </w:p>
    <w:p w14:paraId="5B777101" w14:textId="77777777" w:rsidR="002449ED" w:rsidRPr="002449ED" w:rsidRDefault="002449ED" w:rsidP="002449ED">
      <w:pPr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Министерство труда и занятости населения, её подразделения в регионах;</w:t>
      </w:r>
    </w:p>
    <w:p w14:paraId="10372808" w14:textId="77777777" w:rsidR="002449ED" w:rsidRPr="002449ED" w:rsidRDefault="002449ED" w:rsidP="002449ED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Миграционная служба РТ, её подразделения в регионах;   </w:t>
      </w:r>
    </w:p>
    <w:p w14:paraId="2F076744" w14:textId="77777777" w:rsidR="002449ED" w:rsidRPr="002449ED" w:rsidRDefault="002449ED" w:rsidP="002449ED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Комитет по делам молодежи, спорта и туризма при Правительстве РТ, их региональные представители, в том числе в городах и районах  Ашт, 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Б.Гафуров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Джаббор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 Расулов,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Деваштич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Спитамен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Зафаробод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Исфара, Канибадам. </w:t>
      </w:r>
    </w:p>
    <w:p w14:paraId="4A11638F" w14:textId="77777777" w:rsidR="002449ED" w:rsidRPr="002449ED" w:rsidRDefault="002449ED" w:rsidP="002449ED">
      <w:pPr>
        <w:pStyle w:val="a4"/>
        <w:numPr>
          <w:ilvl w:val="0"/>
          <w:numId w:val="13"/>
        </w:numPr>
        <w:textAlignment w:val="baseline"/>
        <w:rPr>
          <w:rFonts w:ascii="Cambria" w:hAnsi="Cambria"/>
          <w:color w:val="000000"/>
          <w:sz w:val="28"/>
          <w:szCs w:val="28"/>
        </w:rPr>
      </w:pPr>
      <w:r w:rsidRPr="002449ED">
        <w:rPr>
          <w:rFonts w:ascii="Cambria" w:hAnsi="Cambria"/>
          <w:color w:val="000000"/>
          <w:sz w:val="28"/>
          <w:szCs w:val="28"/>
        </w:rPr>
        <w:t xml:space="preserve">Комитет по делам женщин и семьи  при Правительстве РТ и их структуры на местах, в  том числе в городах и районах  Ашт,  </w:t>
      </w:r>
      <w:proofErr w:type="spellStart"/>
      <w:r w:rsidRPr="002449ED">
        <w:rPr>
          <w:rFonts w:ascii="Cambria" w:hAnsi="Cambria"/>
          <w:color w:val="000000"/>
          <w:sz w:val="28"/>
          <w:szCs w:val="28"/>
        </w:rPr>
        <w:t>Б.Гафуров</w:t>
      </w:r>
      <w:proofErr w:type="spellEnd"/>
      <w:r w:rsidRPr="002449ED">
        <w:rPr>
          <w:rFonts w:ascii="Cambria" w:hAnsi="Cambria"/>
          <w:color w:val="000000"/>
          <w:sz w:val="28"/>
          <w:szCs w:val="28"/>
        </w:rPr>
        <w:t xml:space="preserve">,  </w:t>
      </w:r>
      <w:proofErr w:type="spellStart"/>
      <w:r w:rsidRPr="002449ED">
        <w:rPr>
          <w:rFonts w:ascii="Cambria" w:hAnsi="Cambria"/>
          <w:color w:val="000000"/>
          <w:sz w:val="28"/>
          <w:szCs w:val="28"/>
        </w:rPr>
        <w:t>Джаббор</w:t>
      </w:r>
      <w:proofErr w:type="spellEnd"/>
      <w:r w:rsidRPr="002449ED">
        <w:rPr>
          <w:rFonts w:ascii="Cambria" w:hAnsi="Cambria"/>
          <w:color w:val="000000"/>
          <w:sz w:val="28"/>
          <w:szCs w:val="28"/>
        </w:rPr>
        <w:t xml:space="preserve"> Расулов, </w:t>
      </w:r>
      <w:proofErr w:type="spellStart"/>
      <w:r w:rsidRPr="002449ED">
        <w:rPr>
          <w:rFonts w:ascii="Cambria" w:hAnsi="Cambria"/>
          <w:color w:val="000000"/>
          <w:sz w:val="28"/>
          <w:szCs w:val="28"/>
        </w:rPr>
        <w:t>Деваштич</w:t>
      </w:r>
      <w:proofErr w:type="spellEnd"/>
      <w:r w:rsidRPr="002449ED">
        <w:rPr>
          <w:rFonts w:ascii="Cambria" w:hAnsi="Cambria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hAnsi="Cambria"/>
          <w:color w:val="000000"/>
          <w:sz w:val="28"/>
          <w:szCs w:val="28"/>
        </w:rPr>
        <w:t>Спитамен</w:t>
      </w:r>
      <w:proofErr w:type="spellEnd"/>
      <w:r w:rsidRPr="002449ED">
        <w:rPr>
          <w:rFonts w:ascii="Cambria" w:hAnsi="Cambria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hAnsi="Cambria"/>
          <w:color w:val="000000"/>
          <w:sz w:val="28"/>
          <w:szCs w:val="28"/>
        </w:rPr>
        <w:t>Зафаробод</w:t>
      </w:r>
      <w:proofErr w:type="spellEnd"/>
      <w:r w:rsidRPr="002449ED">
        <w:rPr>
          <w:rFonts w:ascii="Cambria" w:hAnsi="Cambria"/>
          <w:color w:val="000000"/>
          <w:sz w:val="28"/>
          <w:szCs w:val="28"/>
        </w:rPr>
        <w:t>, Исфара, Канибадам.</w:t>
      </w:r>
    </w:p>
    <w:p w14:paraId="18254635" w14:textId="77777777" w:rsidR="002449ED" w:rsidRPr="002449ED" w:rsidRDefault="002449ED" w:rsidP="002449ED">
      <w:pPr>
        <w:pStyle w:val="a4"/>
        <w:numPr>
          <w:ilvl w:val="0"/>
          <w:numId w:val="13"/>
        </w:numPr>
        <w:textAlignment w:val="baseline"/>
        <w:rPr>
          <w:rFonts w:ascii="Cambria" w:hAnsi="Cambria"/>
          <w:color w:val="000000"/>
          <w:sz w:val="28"/>
          <w:szCs w:val="28"/>
        </w:rPr>
      </w:pPr>
      <w:r w:rsidRPr="002449ED">
        <w:rPr>
          <w:rFonts w:ascii="Cambria" w:hAnsi="Cambria"/>
          <w:color w:val="000000"/>
          <w:sz w:val="28"/>
          <w:szCs w:val="28"/>
        </w:rPr>
        <w:lastRenderedPageBreak/>
        <w:t>Комитет по делам религии, упорядочению традиций, торжеств и обрядов при Правительстве РТ,  и их представители в приграничных городах и районах</w:t>
      </w:r>
    </w:p>
    <w:p w14:paraId="69033040" w14:textId="77777777" w:rsidR="002449ED" w:rsidRPr="002449ED" w:rsidRDefault="002449ED" w:rsidP="002449ED">
      <w:pPr>
        <w:numPr>
          <w:ilvl w:val="0"/>
          <w:numId w:val="1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Местные исполнительные органы  государственной власти </w:t>
      </w:r>
    </w:p>
    <w:p w14:paraId="3A5EEEA7" w14:textId="77777777" w:rsidR="002449ED" w:rsidRPr="002449ED" w:rsidRDefault="002449ED" w:rsidP="002449ED">
      <w:pPr>
        <w:numPr>
          <w:ilvl w:val="0"/>
          <w:numId w:val="1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Местные органы самоуправления (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джамоаты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махаллинские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 и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кварталные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 комитеты) в приграничных городах и районах</w:t>
      </w:r>
    </w:p>
    <w:p w14:paraId="66F6499E" w14:textId="77777777" w:rsidR="002449ED" w:rsidRPr="002449ED" w:rsidRDefault="002449ED" w:rsidP="002449ED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Профессиональные лицеи </w:t>
      </w:r>
    </w:p>
    <w:p w14:paraId="11732125" w14:textId="77777777" w:rsidR="002449ED" w:rsidRPr="002449ED" w:rsidRDefault="002449ED" w:rsidP="002449ED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Гражданские активисты и лидеры мнений </w:t>
      </w:r>
    </w:p>
    <w:p w14:paraId="08CB4DC1" w14:textId="77777777" w:rsidR="002449ED" w:rsidRPr="002449ED" w:rsidRDefault="002449ED" w:rsidP="002449ED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Масс-медиа</w:t>
      </w:r>
      <w:r w:rsidRPr="002449ED">
        <w:rPr>
          <w:rFonts w:ascii="Cambria" w:eastAsia="Times New Roman" w:hAnsi="Cambria" w:cs="Times New Roman"/>
          <w:color w:val="000000"/>
          <w:sz w:val="28"/>
          <w:szCs w:val="28"/>
          <w:lang w:val="tg-Cyrl-TJ"/>
        </w:rPr>
        <w:t xml:space="preserve"> </w:t>
      </w: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(телевидение, радио,  печать,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блогеры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, 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фрилансеры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  <w:lang w:val="tg-Cyrl-TJ"/>
        </w:rPr>
        <w:t>)</w:t>
      </w:r>
    </w:p>
    <w:p w14:paraId="7A729943" w14:textId="77777777" w:rsidR="002449ED" w:rsidRPr="002449ED" w:rsidRDefault="002449ED" w:rsidP="002449ED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  <w:lang w:val="tg-Cyrl-TJ"/>
        </w:rPr>
        <w:t>П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ресс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-службы </w:t>
      </w:r>
      <w:r w:rsidRPr="002449ED">
        <w:rPr>
          <w:rFonts w:ascii="Cambria" w:eastAsia="Times New Roman" w:hAnsi="Cambria" w:cs="Times New Roman"/>
          <w:color w:val="000000"/>
          <w:sz w:val="28"/>
          <w:szCs w:val="28"/>
          <w:lang w:val="tg-Cyrl-TJ"/>
        </w:rPr>
        <w:t>государственн</w:t>
      </w:r>
      <w:proofErr w:type="spellStart"/>
      <w:r w:rsidRPr="002449ED">
        <w:rPr>
          <w:rFonts w:ascii="Cambria" w:eastAsia="Times New Roman" w:hAnsi="Cambria" w:cs="Times New Roman"/>
          <w:color w:val="000000"/>
          <w:sz w:val="28"/>
          <w:szCs w:val="28"/>
          <w:lang w:bidi="fa-IR"/>
        </w:rPr>
        <w:t>ых</w:t>
      </w:r>
      <w:proofErr w:type="spellEnd"/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 структур и общественных организаций </w:t>
      </w:r>
    </w:p>
    <w:p w14:paraId="196E895E" w14:textId="77777777" w:rsidR="002449ED" w:rsidRPr="002449ED" w:rsidRDefault="002449ED" w:rsidP="002449ED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>Творческие союзы (Союз журналистов, союз писателей, союз композиторов)</w:t>
      </w:r>
    </w:p>
    <w:p w14:paraId="40988F86" w14:textId="77777777" w:rsidR="002449ED" w:rsidRPr="002449ED" w:rsidRDefault="002449ED" w:rsidP="002449ED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449ED">
        <w:rPr>
          <w:rFonts w:ascii="Cambria" w:eastAsia="Times New Roman" w:hAnsi="Cambria" w:cs="Times New Roman"/>
          <w:color w:val="000000"/>
          <w:sz w:val="28"/>
          <w:szCs w:val="28"/>
        </w:rPr>
        <w:t xml:space="preserve">Экспертное сообщество РТ </w:t>
      </w:r>
    </w:p>
    <w:p w14:paraId="0000003C" w14:textId="77777777" w:rsidR="000F1EDF" w:rsidRPr="002449ED" w:rsidRDefault="00700268">
      <w:pPr>
        <w:spacing w:after="240" w:line="240" w:lineRule="auto"/>
        <w:jc w:val="both"/>
        <w:rPr>
          <w:rFonts w:ascii="Cambria" w:eastAsia="Times New Roman" w:hAnsi="Cambria" w:cs="Times New Roman"/>
          <w:sz w:val="32"/>
          <w:szCs w:val="32"/>
        </w:rPr>
      </w:pPr>
      <w:r w:rsidRPr="002449ED">
        <w:rPr>
          <w:rFonts w:ascii="Cambria" w:eastAsia="Times New Roman" w:hAnsi="Cambria" w:cs="Times New Roman"/>
          <w:sz w:val="32"/>
          <w:szCs w:val="32"/>
        </w:rPr>
        <w:br/>
      </w:r>
    </w:p>
    <w:p w14:paraId="0000003D" w14:textId="77777777" w:rsidR="000F1EDF" w:rsidRPr="00BE4934" w:rsidRDefault="000F1EDF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0000003E" w14:textId="77777777" w:rsidR="000F1EDF" w:rsidRPr="00BE4934" w:rsidRDefault="000F1EDF">
      <w:pPr>
        <w:rPr>
          <w:rFonts w:ascii="Cambria" w:hAnsi="Cambria"/>
          <w:sz w:val="28"/>
          <w:szCs w:val="28"/>
        </w:rPr>
      </w:pPr>
    </w:p>
    <w:sectPr w:rsidR="000F1EDF" w:rsidRPr="00BE4934">
      <w:pgSz w:w="11906" w:h="16838"/>
      <w:pgMar w:top="1134" w:right="850" w:bottom="1134" w:left="25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FB8"/>
    <w:multiLevelType w:val="multilevel"/>
    <w:tmpl w:val="C95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1191"/>
    <w:multiLevelType w:val="multilevel"/>
    <w:tmpl w:val="5BC029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B9341E1"/>
    <w:multiLevelType w:val="multilevel"/>
    <w:tmpl w:val="3F72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279C1"/>
    <w:multiLevelType w:val="multilevel"/>
    <w:tmpl w:val="5BE82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A814E63"/>
    <w:multiLevelType w:val="multilevel"/>
    <w:tmpl w:val="EFC01C50"/>
    <w:lvl w:ilvl="0">
      <w:start w:val="1"/>
      <w:numFmt w:val="bullet"/>
      <w:lvlText w:val="●"/>
      <w:lvlJc w:val="left"/>
      <w:pPr>
        <w:ind w:left="8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0C49CD"/>
    <w:multiLevelType w:val="multilevel"/>
    <w:tmpl w:val="F864C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52D21D5"/>
    <w:multiLevelType w:val="multilevel"/>
    <w:tmpl w:val="39246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5F75A9A"/>
    <w:multiLevelType w:val="multilevel"/>
    <w:tmpl w:val="14C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53F57"/>
    <w:multiLevelType w:val="multilevel"/>
    <w:tmpl w:val="8188E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3DB2F31"/>
    <w:multiLevelType w:val="multilevel"/>
    <w:tmpl w:val="5052A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5893C3C"/>
    <w:multiLevelType w:val="multilevel"/>
    <w:tmpl w:val="14BAA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99C0DFE"/>
    <w:multiLevelType w:val="multilevel"/>
    <w:tmpl w:val="1A3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B5CE4"/>
    <w:multiLevelType w:val="multilevel"/>
    <w:tmpl w:val="CD3CF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C4F5284"/>
    <w:multiLevelType w:val="multilevel"/>
    <w:tmpl w:val="97C86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7076359E"/>
    <w:multiLevelType w:val="multilevel"/>
    <w:tmpl w:val="56C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F2822"/>
    <w:multiLevelType w:val="multilevel"/>
    <w:tmpl w:val="D5CC8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DF"/>
    <w:rsid w:val="000F1EDF"/>
    <w:rsid w:val="002449ED"/>
    <w:rsid w:val="00550C38"/>
    <w:rsid w:val="00700268"/>
    <w:rsid w:val="00BE4934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D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92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0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92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0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ZN41lmTtMA2VQMIfMmpqZ/73w==">AMUW2mXlvofAkvju6vEniqz8jU+1w/KgMIhKwh6INAJXSkkHD+0hXDBqDNeJMZb/2wd+siF2oNapZl+slkXijNAhi1gmDi9x+tg/JjB4Keg3m3LGZ2k5kL1ghw0Hy9TCHEw+QWP8PIq5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2021-12-28T11:12:00Z</dcterms:created>
  <dcterms:modified xsi:type="dcterms:W3CDTF">2021-12-28T11:12:00Z</dcterms:modified>
</cp:coreProperties>
</file>